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 Bold" w:hAnsi="Times New Roman Bold" w:cs="Times New Roman Bold"/>
          <w:b/>
          <w:bCs w:val="0"/>
          <w:sz w:val="24"/>
          <w:szCs w:val="24"/>
        </w:rPr>
      </w:pPr>
      <w:r>
        <w:rPr>
          <w:rFonts w:hint="default" w:ascii="Times New Roman Bold" w:hAnsi="Times New Roman Bold" w:cs="Times New Roman Bold"/>
          <w:b/>
          <w:bCs w:val="0"/>
          <w:sz w:val="24"/>
          <w:szCs w:val="24"/>
        </w:rPr>
        <w:t>SUPPLEMENTARY FIGURES</w:t>
      </w:r>
    </w:p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5266690" cy="4110355"/>
            <wp:effectExtent l="0" t="0" r="16510" b="4445"/>
            <wp:docPr id="1" name="图片 1" descr="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 S1"/>
                    <pic:cNvPicPr>
                      <a:picLocks noChangeAspect="1"/>
                    </pic:cNvPicPr>
                  </pic:nvPicPr>
                  <pic:blipFill>
                    <a:blip r:embed="rId4"/>
                    <a:srcRect b="4590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1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Bold" w:hAnsi="Times New Roman Bold" w:cs="Times New Roman Bold"/>
          <w:b/>
          <w:bCs/>
          <w:sz w:val="24"/>
        </w:rPr>
        <w:t>F</w:t>
      </w:r>
      <w:r>
        <w:rPr>
          <w:rFonts w:hint="eastAsia" w:ascii="Times New Roman Bold" w:hAnsi="Times New Roman Bold" w:cs="Times New Roman Bold"/>
          <w:b/>
          <w:bCs/>
          <w:sz w:val="24"/>
          <w:lang w:val="en-US" w:eastAsia="zh-Hans"/>
        </w:rPr>
        <w:t>ig</w:t>
      </w:r>
      <w:r>
        <w:rPr>
          <w:rFonts w:hint="default" w:ascii="Times New Roman Bold" w:hAnsi="Times New Roman Bold" w:cs="Times New Roman Bold"/>
          <w:b/>
          <w:bCs/>
          <w:sz w:val="24"/>
          <w:lang w:eastAsia="zh-Hans"/>
        </w:rPr>
        <w:t>.</w:t>
      </w:r>
      <w:r>
        <w:rPr>
          <w:rFonts w:hint="default" w:ascii="Times New Roman Bold" w:hAnsi="Times New Roman Bold" w:cs="Times New Roman Bold"/>
          <w:b/>
          <w:bCs/>
          <w:sz w:val="24"/>
        </w:rPr>
        <w:t xml:space="preserve"> S1</w:t>
      </w:r>
      <w:r>
        <w:rPr>
          <w:rFonts w:hint="default" w:ascii="Times New Roman Regular" w:hAnsi="Times New Roman Regular" w:cs="Times New Roman Regular"/>
          <w:b/>
          <w:bCs/>
          <w:sz w:val="24"/>
        </w:rPr>
        <w:t xml:space="preserve"> </w:t>
      </w:r>
      <w:r>
        <w:rPr>
          <w:rFonts w:hint="default" w:ascii="Times New Roman Regular" w:hAnsi="Times New Roman Regular" w:cs="Times New Roman Regular"/>
          <w:sz w:val="24"/>
        </w:rPr>
        <w:t xml:space="preserve">FOXD1 participated in the process of TGF-β1 induced EMT. A. The qRT-PCR method was used to examine the relative mRNA expression changes of EMT-related markers and FOXD1 in TGF-β1 treated KYSE150 cells compared with non-treated KYSE150 cells. B. </w:t>
      </w:r>
      <w:r>
        <w:rPr>
          <w:rFonts w:hint="default" w:ascii="Times New Roman Regular" w:hAnsi="Times New Roman Regular" w:eastAsia="DengXian" w:cs="Times New Roman Regular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The protein expression of EMT-related markers (E-cadherin, N-cadherin, Vimentin, SNAI1 and β-catenin) and FOXD1 were explored by western blot method in KYSE150 cells</w:t>
      </w:r>
      <w:r>
        <w:rPr>
          <w:rFonts w:hint="default" w:ascii="Times New Roman Regular" w:hAnsi="Times New Roman Regular" w:cs="Times New Roman Regular"/>
          <w:sz w:val="24"/>
        </w:rPr>
        <w:t>. D. The effect of FOXD1 on TGF-β1-mediated EMT-related markers at protein expression level in KYSE150 cells. *p&lt; 0.05.</w:t>
      </w:r>
    </w:p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5266690" cy="5839460"/>
            <wp:effectExtent l="0" t="0" r="16510" b="2540"/>
            <wp:docPr id="2" name="图片 2" descr="Figure 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 S2"/>
                    <pic:cNvPicPr>
                      <a:picLocks noChangeAspect="1"/>
                    </pic:cNvPicPr>
                  </pic:nvPicPr>
                  <pic:blipFill>
                    <a:blip r:embed="rId5"/>
                    <a:srcRect b="2324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Bold" w:hAnsi="Times New Roman Bold" w:cs="Times New Roman Bold"/>
          <w:b/>
          <w:bCs/>
          <w:sz w:val="24"/>
        </w:rPr>
        <w:t>F</w:t>
      </w:r>
      <w:r>
        <w:rPr>
          <w:rFonts w:hint="eastAsia" w:ascii="Times New Roman Bold" w:hAnsi="Times New Roman Bold" w:cs="Times New Roman Bold"/>
          <w:b/>
          <w:bCs/>
          <w:sz w:val="24"/>
          <w:lang w:val="en-US" w:eastAsia="zh-Hans"/>
        </w:rPr>
        <w:t>ig</w:t>
      </w:r>
      <w:r>
        <w:rPr>
          <w:rFonts w:hint="default" w:ascii="Times New Roman Bold" w:hAnsi="Times New Roman Bold" w:cs="Times New Roman Bold"/>
          <w:b/>
          <w:bCs/>
          <w:sz w:val="24"/>
          <w:lang w:eastAsia="zh-Hans"/>
        </w:rPr>
        <w:t>.</w:t>
      </w:r>
      <w:r>
        <w:rPr>
          <w:rFonts w:hint="default" w:ascii="Times New Roman Bold" w:hAnsi="Times New Roman Bold" w:cs="Times New Roman Bold"/>
          <w:b/>
          <w:bCs/>
          <w:sz w:val="24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sz w:val="24"/>
          <w:szCs w:val="24"/>
        </w:rPr>
        <w:t>S2</w:t>
      </w:r>
      <w:r>
        <w:rPr>
          <w:rFonts w:hint="default" w:ascii="Times New Roman Regular" w:hAnsi="Times New Roman Regular" w:cs="Times New Roman Regular"/>
          <w:b/>
          <w:bCs/>
          <w:sz w:val="24"/>
          <w:szCs w:val="24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</w:rPr>
        <w:t xml:space="preserve">FOXD1 upregulated the proliferation, migration, and invasion of ESCC cells and promoted the EMT process through up-regulating SNAI1 in KYSE150 cells. A-B. The transfection efficiency of FOXD1(A) and SNAI1(B) in the four experimental groups was determined by qRT-PCR assays. C-D. MTS (C) and colony formation (D) assays were used to measure the proliferation capacity by cotransfection with si-SNAI1 in FOXD1-overexpressing cells. E-F. </w:t>
      </w:r>
      <w:r>
        <w:rPr>
          <w:rFonts w:hint="default" w:ascii="Times New Roman Regular" w:hAnsi="Times New Roman Regular" w:cs="Times New Roman Regular"/>
          <w:sz w:val="24"/>
          <w:szCs w:val="24"/>
        </w:rPr>
        <w:t>T</w:t>
      </w:r>
      <w:bookmarkStart w:id="0" w:name="_GoBack"/>
      <w:bookmarkEnd w:id="0"/>
      <w:r>
        <w:rPr>
          <w:rFonts w:hint="default" w:ascii="Times New Roman Regular" w:hAnsi="Times New Roman Regular" w:cs="Times New Roman Regular"/>
          <w:sz w:val="24"/>
          <w:szCs w:val="24"/>
        </w:rPr>
        <w:t>ranswell (F) assays were used to confirm the invasion of cells after cotransfection with si-SNAI1 in FOXD1-overexpressing cells. *p&lt; 0.05.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alatino Linotype">
    <w:altName w:val="苹方-简"/>
    <w:panose1 w:val="02040502050505030304"/>
    <w:charset w:val="00"/>
    <w:family w:val="roman"/>
    <w:pitch w:val="default"/>
    <w:sig w:usb0="00000000" w:usb1="00000000" w:usb2="00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imes New Roman Bold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36040"/>
    <w:rsid w:val="1D1742A4"/>
    <w:rsid w:val="3D7FB066"/>
    <w:rsid w:val="3FF36040"/>
    <w:rsid w:val="51717AE5"/>
    <w:rsid w:val="5B77D015"/>
    <w:rsid w:val="8EFFD9BB"/>
    <w:rsid w:val="AFBD90E1"/>
    <w:rsid w:val="AFFCD757"/>
    <w:rsid w:val="BBFFB9C6"/>
    <w:rsid w:val="F90FF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DPI_1.2_title"/>
    <w:next w:val="1"/>
    <w:qFormat/>
    <w:uiPriority w:val="0"/>
    <w:pPr>
      <w:adjustRightInd w:val="0"/>
      <w:snapToGrid w:val="0"/>
      <w:spacing w:after="240" w:line="400" w:lineRule="exact"/>
    </w:pPr>
    <w:rPr>
      <w:rFonts w:ascii="Palatino Linotype" w:hAnsi="Palatino Linotype" w:eastAsia="Times New Roman" w:cs="Times New Roman"/>
      <w:b/>
      <w:snapToGrid w:val="0"/>
      <w:color w:val="000000"/>
      <w:sz w:val="36"/>
      <w:szCs w:val="22"/>
      <w:lang w:val="en-US"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2021-09-08T02:31:00Z</dcterms:created>
  <dc:creator>flora</dc:creator>
  <cp:lastModifiedBy>wuzheng</cp:lastModifiedBy>
  <dcterms:modified xsi:type="dcterms:W3CDTF">2023-05-19T21:07:29Z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9F26037EFB6E54098E7D2D64773E1187</vt:lpwstr>
  </property>
</Properties>
</file>